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6400"/>
        <w:gridCol w:w="3680"/>
      </w:tblGrid>
      <w:tr>
        <w:tc>
          <w:tcPr>
            <w:tcW w:type="dxa" w:w="6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4F8A" w:val="clear"/>
            <w:tcMar>
              <w:top w:type="dxa" w:w="200"/>
              <w:left w:type="dxa" w:w="280"/>
              <w:bottom w:type="dxa" w:w="200"/>
              <w:right w:type="dxa" w:w="280"/>
            </w:tcMar>
          </w:tcPr>
          <w:p>
            <w:pPr>
              <w:spacing w:after="60" w:before="80"/>
            </w:pPr>
            <w:r>
              <w:rPr>
                <w:rFonts w:ascii="Arial" w:cs="Arial" w:eastAsia="Arial" w:hAnsi="Arial"/>
                <w:b/>
                <w:bCs/>
                <w:color w:val="FFFFFF"/>
                <w:sz w:val="44"/>
                <w:szCs w:val="44"/>
              </w:rPr>
              <w:t xml:space="preserve">BHAVESH KISHALAY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color w:val="BDD7EE"/>
                <w:sz w:val="19"/>
                <w:szCs w:val="19"/>
              </w:rPr>
              <w:t xml:space="preserve">Mutual Fund Operations  |  NISM V-A Certified  |  Relationship Manager</w:t>
            </w:r>
          </w:p>
          <w:p>
            <w:pPr>
              <w:spacing w:after="60" w:before="60"/>
            </w:pPr>
            <w:r>
              <w:rPr>
                <w:rFonts w:ascii="Arial" w:cs="Arial" w:eastAsia="Arial" w:hAnsi="Arial"/>
                <w:color w:val="FFFFFF"/>
                <w:sz w:val="18"/>
                <w:szCs w:val="18"/>
              </w:rPr>
              <w:t>karnbk0@gmail.com   |   +91 91232 47446   |   Darbhanga, Bihar</w:t>
            </w:r>
          </w:p>
        </w:tc>
        <w:tc>
          <w:tcPr>
            <w:tcW w:type="dxa" w:w="3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980B9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spacing w:after="40" w:before="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NISM CERTIFIED</w:t>
            </w:r>
          </w:p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color w:val="D6EAF8"/>
                <w:sz w:val="19"/>
                <w:szCs w:val="19"/>
              </w:rPr>
              <w:t xml:space="preserve">Series V-A</w:t>
            </w:r>
          </w:p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color w:val="D6EAF8"/>
                <w:sz w:val="18"/>
                <w:szCs w:val="18"/>
              </w:rPr>
              <w:t xml:space="preserve">Mutual Fund Distributor</w:t>
            </w:r>
          </w:p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SBI Mutual Fund Experience</w:t>
            </w:r>
          </w:p>
        </w:tc>
      </w:tr>
    </w:tbl>
    <w:p>
      <w:pPr>
        <w:spacing w:after="0" w:before="180"/>
      </w:pPr>
    </w:p>
    <w:p>
      <w:pPr>
        <w:pBdr>
          <w:bottom w:val="single" w:color="1B4F8A" w:sz="12" w:space="4"/>
        </w:pBdr>
        <w:spacing w:after="80" w:before="240"/>
      </w:pPr>
      <w:r>
        <w:rPr>
          <w:rFonts w:ascii="Arial" w:cs="Arial" w:eastAsia="Arial" w:hAnsi="Arial"/>
          <w:b/>
          <w:bCs/>
          <w:color w:val="1B4F8A"/>
          <w:sz w:val="22"/>
          <w:szCs w:val="22"/>
        </w:rPr>
        <w:t xml:space="preserve">PROFESSIONAL SUMMARY</w:t>
      </w:r>
    </w:p>
    <w:p>
      <w:pPr>
        <w:spacing w:after="160" w:before="100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NISM V-A Certified Mutual Fund professional with hands-on experience as a Relationship Manager at SBI Mutual Fund. Proven ability to manage end-to-end client relationships, deliver compliance-aligned financial guidance, and coordinate with branch networks for seamless fund processing. Strong analytical foundation from a B.Sc in Mathematics and a B.Ed degree. Seeking a growth-oriented role in Mutual Fund Operations or Client Relationship Management with a reputed financial institution.</w:t>
      </w:r>
    </w:p>
    <w:p>
      <w:pPr>
        <w:pBdr>
          <w:bottom w:val="single" w:color="1B4F8A" w:sz="12" w:space="4"/>
        </w:pBdr>
        <w:spacing w:after="80" w:before="240"/>
      </w:pPr>
      <w:r>
        <w:rPr>
          <w:rFonts w:ascii="Arial" w:cs="Arial" w:eastAsia="Arial" w:hAnsi="Arial"/>
          <w:b/>
          <w:bCs/>
          <w:color w:val="1B4F8A"/>
          <w:sz w:val="22"/>
          <w:szCs w:val="22"/>
        </w:rPr>
        <w:t xml:space="preserve">WORK EXPERIENCE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6000"/>
        <w:gridCol w:w="3360"/>
      </w:tblGrid>
      <w:tr>
        <w:tc>
          <w:tcPr>
            <w:tcW w:type="dxa" w:w="6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20" w:before="160"/>
            </w:pPr>
            <w:r>
              <w:rPr>
                <w:rFonts w:ascii="Arial" w:cs="Arial" w:eastAsia="Arial" w:hAnsi="Arial"/>
                <w:b/>
                <w:bCs/>
                <w:color w:val="2C2C2C"/>
                <w:sz w:val="22"/>
                <w:szCs w:val="22"/>
              </w:rPr>
              <w:t xml:space="preserve">Career Development Break</w:t>
            </w:r>
            <w:r>
              <w:rPr>
                <w:rFonts w:ascii="Arial" w:cs="Arial" w:eastAsia="Arial" w:hAnsi="Arial"/>
                <w:b/>
                <w:bCs/>
                <w:color w:val="2980B9"/>
                <w:sz w:val="20"/>
                <w:szCs w:val="20"/>
              </w:rPr>
              <w:t xml:space="preserve">  ·  Self-Directed Learning</w:t>
            </w:r>
          </w:p>
        </w:tc>
        <w:tc>
          <w:tcPr>
            <w:tcW w:type="dxa" w:w="3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spacing w:after="20" w:before="160"/>
              <w:jc w:val="right"/>
            </w:pPr>
            <w:r>
              <w:rPr>
                <w:rFonts w:ascii="Arial" w:cs="Arial" w:eastAsia="Arial" w:hAnsi="Arial"/>
                <w:i/>
                <w:iCs/>
                <w:color w:val="555555"/>
                <w:sz w:val="18"/>
                <w:szCs w:val="18"/>
              </w:rPr>
              <w:t xml:space="preserve">Oct 2024 – Present</w:t>
            </w:r>
          </w:p>
        </w:tc>
      </w:tr>
    </w:tbl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Advancing MS Excel skills including data analysis, VLOOKUP, pivot tables, and financial modelling for investment reporting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Reskilling in WordPress development; building and managing client websites with focus on business and financial services niche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Actively exploring opportunities in mutual fund distribution, financial advisory, and client relationship management</w:t>
      </w:r>
    </w:p>
    <w:p>
      <w:pPr>
        <w:spacing w:after="0" w:before="60"/>
      </w:pP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6000"/>
        <w:gridCol w:w="3360"/>
      </w:tblGrid>
      <w:tr>
        <w:tc>
          <w:tcPr>
            <w:tcW w:type="dxa" w:w="6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20" w:before="160"/>
            </w:pPr>
            <w:r>
              <w:rPr>
                <w:rFonts w:ascii="Arial" w:cs="Arial" w:eastAsia="Arial" w:hAnsi="Arial"/>
                <w:b/>
                <w:bCs/>
                <w:color w:val="2C2C2C"/>
                <w:sz w:val="22"/>
                <w:szCs w:val="22"/>
              </w:rPr>
              <w:t xml:space="preserve">Relationship Manager</w:t>
            </w:r>
            <w:r>
              <w:rPr>
                <w:rFonts w:ascii="Arial" w:cs="Arial" w:eastAsia="Arial" w:hAnsi="Arial"/>
                <w:b/>
                <w:bCs/>
                <w:color w:val="2980B9"/>
                <w:sz w:val="20"/>
                <w:szCs w:val="20"/>
              </w:rPr>
              <w:t xml:space="preserve">  ·  SBI Mutual Fund</w:t>
            </w:r>
          </w:p>
        </w:tc>
        <w:tc>
          <w:tcPr>
            <w:tcW w:type="dxa" w:w="3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spacing w:after="20" w:before="160"/>
              <w:jc w:val="right"/>
            </w:pPr>
            <w:r>
              <w:rPr>
                <w:rFonts w:ascii="Arial" w:cs="Arial" w:eastAsia="Arial" w:hAnsi="Arial"/>
                <w:i/>
                <w:iCs/>
                <w:color w:val="555555"/>
                <w:sz w:val="18"/>
                <w:szCs w:val="18"/>
              </w:rPr>
              <w:t xml:space="preserve">Jan 2024 – Sep 2024</w:t>
            </w:r>
          </w:p>
        </w:tc>
      </w:tr>
    </w:tbl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Managed end-to-end client relationships for mutual fund investments across branch walk-ins and direct customers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Coordinated with branch networks and operations teams to ensure seamless fund processing and timely service delivery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Applied NISM V-A certification to deliver compliance-aligned financial guidance and build long-term investor trust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Maintained high customer satisfaction through prompt query resolution, proactive follow-up, and personalized investment advice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Assisted clients with SIP registrations, lump-sum investments, KYC documentation, and portfolio reviews</w:t>
      </w:r>
    </w:p>
    <w:p>
      <w:pPr>
        <w:spacing w:after="0" w:before="60"/>
      </w:pP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6000"/>
        <w:gridCol w:w="3360"/>
      </w:tblGrid>
      <w:tr>
        <w:tc>
          <w:tcPr>
            <w:tcW w:type="dxa" w:w="6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20" w:before="160"/>
            </w:pPr>
            <w:r>
              <w:rPr>
                <w:rFonts w:ascii="Arial" w:cs="Arial" w:eastAsia="Arial" w:hAnsi="Arial"/>
                <w:b/>
                <w:bCs/>
                <w:color w:val="2C2C2C"/>
                <w:sz w:val="22"/>
                <w:szCs w:val="22"/>
              </w:rPr>
              <w:t xml:space="preserve">WordPress Developer</w:t>
            </w:r>
            <w:r>
              <w:rPr>
                <w:rFonts w:ascii="Arial" w:cs="Arial" w:eastAsia="Arial" w:hAnsi="Arial"/>
                <w:b/>
                <w:bCs/>
                <w:color w:val="2980B9"/>
                <w:sz w:val="20"/>
                <w:szCs w:val="20"/>
              </w:rPr>
              <w:t xml:space="preserve">  ·  Sikaria Tech</w:t>
            </w:r>
          </w:p>
        </w:tc>
        <w:tc>
          <w:tcPr>
            <w:tcW w:type="dxa" w:w="3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spacing w:after="20" w:before="160"/>
              <w:jc w:val="right"/>
            </w:pPr>
            <w:r>
              <w:rPr>
                <w:rFonts w:ascii="Arial" w:cs="Arial" w:eastAsia="Arial" w:hAnsi="Arial"/>
                <w:i/>
                <w:iCs/>
                <w:color w:val="555555"/>
                <w:sz w:val="18"/>
                <w:szCs w:val="18"/>
              </w:rPr>
              <w:t xml:space="preserve">Mar 2023 – Oct 2023</w:t>
            </w:r>
          </w:p>
        </w:tc>
      </w:tr>
    </w:tbl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Developed and maintained responsive client websites using WordPress with custom theme design and branding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Managed full website lifecycle including content updates, logo creation using Photoshop, and digital marketing campaigns</w:t>
      </w:r>
    </w:p>
    <w:p>
      <w:pPr>
        <w:spacing w:after="0" w:before="60"/>
      </w:pP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6000"/>
        <w:gridCol w:w="3360"/>
      </w:tblGrid>
      <w:tr>
        <w:tc>
          <w:tcPr>
            <w:tcW w:type="dxa" w:w="6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20" w:before="160"/>
            </w:pPr>
            <w:r>
              <w:rPr>
                <w:rFonts w:ascii="Arial" w:cs="Arial" w:eastAsia="Arial" w:hAnsi="Arial"/>
                <w:b/>
                <w:bCs/>
                <w:color w:val="2C2C2C"/>
                <w:sz w:val="22"/>
                <w:szCs w:val="22"/>
              </w:rPr>
              <w:t xml:space="preserve">Design &amp; Operations Intern</w:t>
            </w:r>
            <w:r>
              <w:rPr>
                <w:rFonts w:ascii="Arial" w:cs="Arial" w:eastAsia="Arial" w:hAnsi="Arial"/>
                <w:b/>
                <w:bCs/>
                <w:color w:val="2980B9"/>
                <w:sz w:val="20"/>
                <w:szCs w:val="20"/>
              </w:rPr>
              <w:t xml:space="preserve">  ·  Technoose Solution Tech</w:t>
            </w:r>
          </w:p>
        </w:tc>
        <w:tc>
          <w:tcPr>
            <w:tcW w:type="dxa" w:w="3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spacing w:after="20" w:before="160"/>
              <w:jc w:val="right"/>
            </w:pPr>
            <w:r>
              <w:rPr>
                <w:rFonts w:ascii="Arial" w:cs="Arial" w:eastAsia="Arial" w:hAnsi="Arial"/>
                <w:i/>
                <w:iCs/>
                <w:color w:val="555555"/>
                <w:sz w:val="18"/>
                <w:szCs w:val="18"/>
              </w:rPr>
              <w:t xml:space="preserve">Jan 2023 – Mar 2023</w:t>
            </w:r>
          </w:p>
        </w:tc>
      </w:tr>
    </w:tbl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Created professional brand assets and managed e-commerce product listings with accuracy and visual consistency</w:t>
      </w:r>
    </w:p>
    <w:p>
      <w:pPr>
        <w:pBdr>
          <w:bottom w:val="single" w:color="1B4F8A" w:sz="12" w:space="4"/>
        </w:pBdr>
        <w:spacing w:after="80" w:before="240"/>
      </w:pPr>
      <w:r>
        <w:rPr>
          <w:rFonts w:ascii="Arial" w:cs="Arial" w:eastAsia="Arial" w:hAnsi="Arial"/>
          <w:b/>
          <w:bCs/>
          <w:color w:val="1B4F8A"/>
          <w:sz w:val="22"/>
          <w:szCs w:val="22"/>
        </w:rPr>
        <w:t xml:space="preserve">EDUCATION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200"/>
        <w:gridCol w:w="3000"/>
        <w:gridCol w:w="1500"/>
        <w:gridCol w:w="1380"/>
      </w:tblGrid>
      <w:tr>
        <w:tc>
          <w:tcPr>
            <w:tcW w:type="dxa" w:w="4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4F8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Degree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4F8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Institution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4F8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Year</w:t>
            </w:r>
          </w:p>
        </w:tc>
        <w:tc>
          <w:tcPr>
            <w:tcW w:type="dxa" w:w="13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4F8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Result</w:t>
            </w:r>
          </w:p>
        </w:tc>
      </w:tr>
      <w:tr>
        <w:tc>
          <w:tcPr>
            <w:tcW w:type="dxa" w:w="42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shd w:fill="F5F7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C2C"/>
                <w:sz w:val="19"/>
                <w:szCs w:val="19"/>
              </w:rPr>
              <w:t xml:space="preserve">B.Ed — Mathematics</w:t>
            </w:r>
          </w:p>
        </w:tc>
        <w:tc>
          <w:tcPr>
            <w:tcW w:type="dxa" w:w="30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shd w:fill="F5F7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C2C"/>
                <w:sz w:val="19"/>
                <w:szCs w:val="19"/>
              </w:rPr>
              <w:t xml:space="preserve">Mithila B.Ed College, Darbhanga</w:t>
            </w:r>
          </w:p>
        </w:tc>
        <w:tc>
          <w:tcPr>
            <w:tcW w:type="dxa" w:w="15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shd w:fill="F5F7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C2C"/>
                <w:sz w:val="19"/>
                <w:szCs w:val="19"/>
              </w:rPr>
              <w:t xml:space="preserve">2022–2024</w:t>
            </w:r>
          </w:p>
        </w:tc>
        <w:tc>
          <w:tcPr>
            <w:tcW w:type="dxa" w:w="138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shd w:fill="F5F7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980B9"/>
                <w:sz w:val="19"/>
                <w:szCs w:val="19"/>
              </w:rPr>
              <w:t xml:space="preserve">First Division</w:t>
            </w:r>
          </w:p>
        </w:tc>
      </w:tr>
      <w:tr>
        <w:tc>
          <w:tcPr>
            <w:tcW w:type="dxa" w:w="42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C2C"/>
                <w:sz w:val="19"/>
                <w:szCs w:val="19"/>
              </w:rPr>
              <w:t xml:space="preserve">B.Sc — Mathematics</w:t>
            </w:r>
          </w:p>
        </w:tc>
        <w:tc>
          <w:tcPr>
            <w:tcW w:type="dxa" w:w="30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C2C"/>
                <w:sz w:val="19"/>
                <w:szCs w:val="19"/>
              </w:rPr>
              <w:t xml:space="preserve">MLSM College, Darbhanga</w:t>
            </w:r>
          </w:p>
        </w:tc>
        <w:tc>
          <w:tcPr>
            <w:tcW w:type="dxa" w:w="15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C2C"/>
                <w:sz w:val="19"/>
                <w:szCs w:val="19"/>
              </w:rPr>
              <w:t xml:space="preserve">2014–2017</w:t>
            </w:r>
          </w:p>
        </w:tc>
        <w:tc>
          <w:tcPr>
            <w:tcW w:type="dxa" w:w="138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980B9"/>
                <w:sz w:val="19"/>
                <w:szCs w:val="19"/>
              </w:rPr>
              <w:t xml:space="preserve">First Division</w:t>
            </w:r>
          </w:p>
        </w:tc>
      </w:tr>
      <w:tr>
        <w:tc>
          <w:tcPr>
            <w:tcW w:type="dxa" w:w="42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shd w:fill="F5F7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C2C"/>
                <w:sz w:val="19"/>
                <w:szCs w:val="19"/>
              </w:rPr>
              <w:t xml:space="preserve">Diploma in Software Engg.</w:t>
            </w:r>
          </w:p>
        </w:tc>
        <w:tc>
          <w:tcPr>
            <w:tcW w:type="dxa" w:w="30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shd w:fill="F5F7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C2C"/>
                <w:sz w:val="19"/>
                <w:szCs w:val="19"/>
              </w:rPr>
              <w:t xml:space="preserve">NIIT Darbhanga</w:t>
            </w:r>
          </w:p>
        </w:tc>
        <w:tc>
          <w:tcPr>
            <w:tcW w:type="dxa" w:w="15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shd w:fill="F5F7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C2C"/>
                <w:sz w:val="19"/>
                <w:szCs w:val="19"/>
              </w:rPr>
              <w:t xml:space="preserve">2019–2021</w:t>
            </w:r>
          </w:p>
        </w:tc>
        <w:tc>
          <w:tcPr>
            <w:tcW w:type="dxa" w:w="138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shd w:fill="F5F7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980B9"/>
                <w:sz w:val="19"/>
                <w:szCs w:val="19"/>
              </w:rPr>
              <w:t xml:space="preserve">CGPA 7.99</w:t>
            </w:r>
          </w:p>
        </w:tc>
      </w:tr>
      <w:tr>
        <w:tc>
          <w:tcPr>
            <w:tcW w:type="dxa" w:w="42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C2C"/>
                <w:sz w:val="19"/>
                <w:szCs w:val="19"/>
              </w:rPr>
              <w:t xml:space="preserve">Senior Secondary (XII)</w:t>
            </w:r>
          </w:p>
        </w:tc>
        <w:tc>
          <w:tcPr>
            <w:tcW w:type="dxa" w:w="30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C2C"/>
                <w:sz w:val="19"/>
                <w:szCs w:val="19"/>
              </w:rPr>
              <w:t xml:space="preserve">BSEB Patna</w:t>
            </w:r>
          </w:p>
        </w:tc>
        <w:tc>
          <w:tcPr>
            <w:tcW w:type="dxa" w:w="15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C2C"/>
                <w:sz w:val="19"/>
                <w:szCs w:val="19"/>
              </w:rPr>
              <w:t xml:space="preserve">2014</w:t>
            </w:r>
          </w:p>
        </w:tc>
        <w:tc>
          <w:tcPr>
            <w:tcW w:type="dxa" w:w="138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980B9"/>
                <w:sz w:val="19"/>
                <w:szCs w:val="19"/>
              </w:rPr>
              <w:t xml:space="preserve">Second Division</w:t>
            </w:r>
          </w:p>
        </w:tc>
      </w:tr>
      <w:tr>
        <w:tc>
          <w:tcPr>
            <w:tcW w:type="dxa" w:w="42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shd w:fill="F5F7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C2C"/>
                <w:sz w:val="19"/>
                <w:szCs w:val="19"/>
              </w:rPr>
              <w:t xml:space="preserve">Secondary (X)</w:t>
            </w:r>
          </w:p>
        </w:tc>
        <w:tc>
          <w:tcPr>
            <w:tcW w:type="dxa" w:w="30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shd w:fill="F5F7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C2C"/>
                <w:sz w:val="19"/>
                <w:szCs w:val="19"/>
              </w:rPr>
              <w:t xml:space="preserve">BSEB Patna</w:t>
            </w:r>
          </w:p>
        </w:tc>
        <w:tc>
          <w:tcPr>
            <w:tcW w:type="dxa" w:w="150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shd w:fill="F5F7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C2C"/>
                <w:sz w:val="19"/>
                <w:szCs w:val="19"/>
              </w:rPr>
              <w:t xml:space="preserve">2012</w:t>
            </w:r>
          </w:p>
        </w:tc>
        <w:tc>
          <w:tcPr>
            <w:tcW w:type="dxa" w:w="138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shd w:fill="F5F7F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980B9"/>
                <w:sz w:val="19"/>
                <w:szCs w:val="19"/>
              </w:rPr>
              <w:t xml:space="preserve">First Division</w:t>
            </w:r>
          </w:p>
        </w:tc>
      </w:tr>
    </w:tbl>
    <w:p>
      <w:pPr>
        <w:spacing w:after="0" w:before="180"/>
      </w:pPr>
    </w:p>
    <w:p>
      <w:pPr>
        <w:pBdr>
          <w:bottom w:val="single" w:color="1B4F8A" w:sz="12" w:space="4"/>
        </w:pBdr>
        <w:spacing w:after="80" w:before="240"/>
      </w:pPr>
      <w:r>
        <w:rPr>
          <w:rFonts w:ascii="Arial" w:cs="Arial" w:eastAsia="Arial" w:hAnsi="Arial"/>
          <w:b/>
          <w:bCs/>
          <w:color w:val="1B4F8A"/>
          <w:sz w:val="22"/>
          <w:szCs w:val="22"/>
        </w:rPr>
        <w:t xml:space="preserve">CORE SKILLS</w:t>
      </w:r>
    </w:p>
    <w:p>
      <w:pPr>
        <w:spacing w:after="60" w:before="100"/>
      </w:pP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560"/>
        <w:gridCol w:w="120"/>
        <w:gridCol w:w="1560"/>
        <w:gridCol w:w="120"/>
        <w:gridCol w:w="1560"/>
        <w:gridCol w:w="120"/>
        <w:gridCol w:w="1560"/>
        <w:gridCol w:w="120"/>
        <w:gridCol w:w="1560"/>
        <w:gridCol w:w="120"/>
        <w:gridCol w:w="1560"/>
      </w:tblGrid>
      <w:tr>
        <w:tc>
          <w:tcPr>
            <w:tcW w:type="dxa" w:w="1560"/>
            <w:tcBorders>
              <w:top w:val="single" w:color="2980B9" w:sz="4"/>
              <w:left w:val="single" w:color="2980B9" w:sz="4"/>
              <w:bottom w:val="single" w:color="2980B9" w:sz="4"/>
              <w:right w:val="single" w:color="2980B9" w:sz="4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B4F8A"/>
                <w:sz w:val="17"/>
                <w:szCs w:val="17"/>
              </w:rPr>
              <w:t xml:space="preserve">Mutual Fund Ops</w:t>
            </w:r>
          </w:p>
        </w:tc>
        <w:tc>
          <w:tcPr>
            <w:tcW w:type="dxa" w:w="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60"/>
            <w:tcBorders>
              <w:top w:val="single" w:color="2980B9" w:sz="4"/>
              <w:left w:val="single" w:color="2980B9" w:sz="4"/>
              <w:bottom w:val="single" w:color="2980B9" w:sz="4"/>
              <w:right w:val="single" w:color="2980B9" w:sz="4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B4F8A"/>
                <w:sz w:val="17"/>
                <w:szCs w:val="17"/>
              </w:rPr>
              <w:t xml:space="preserve">NISM V-A Certified</w:t>
            </w:r>
          </w:p>
        </w:tc>
        <w:tc>
          <w:tcPr>
            <w:tcW w:type="dxa" w:w="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60"/>
            <w:tcBorders>
              <w:top w:val="single" w:color="2980B9" w:sz="4"/>
              <w:left w:val="single" w:color="2980B9" w:sz="4"/>
              <w:bottom w:val="single" w:color="2980B9" w:sz="4"/>
              <w:right w:val="single" w:color="2980B9" w:sz="4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B4F8A"/>
                <w:sz w:val="17"/>
                <w:szCs w:val="17"/>
              </w:rPr>
              <w:t xml:space="preserve">Client Relations</w:t>
            </w:r>
          </w:p>
        </w:tc>
        <w:tc>
          <w:tcPr>
            <w:tcW w:type="dxa" w:w="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60"/>
            <w:tcBorders>
              <w:top w:val="single" w:color="2980B9" w:sz="4"/>
              <w:left w:val="single" w:color="2980B9" w:sz="4"/>
              <w:bottom w:val="single" w:color="2980B9" w:sz="4"/>
              <w:right w:val="single" w:color="2980B9" w:sz="4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B4F8A"/>
                <w:sz w:val="17"/>
                <w:szCs w:val="17"/>
              </w:rPr>
              <w:t xml:space="preserve">SIP &amp; KYC Process</w:t>
            </w:r>
          </w:p>
        </w:tc>
        <w:tc>
          <w:tcPr>
            <w:tcW w:type="dxa" w:w="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60"/>
            <w:tcBorders>
              <w:top w:val="single" w:color="2980B9" w:sz="4"/>
              <w:left w:val="single" w:color="2980B9" w:sz="4"/>
              <w:bottom w:val="single" w:color="2980B9" w:sz="4"/>
              <w:right w:val="single" w:color="2980B9" w:sz="4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B4F8A"/>
                <w:sz w:val="17"/>
                <w:szCs w:val="17"/>
              </w:rPr>
              <w:t xml:space="preserve">MS Excel (Learning)</w:t>
            </w:r>
          </w:p>
        </w:tc>
        <w:tc>
          <w:tcPr>
            <w:tcW w:type="dxa" w:w="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60"/>
            <w:tcBorders>
              <w:top w:val="single" w:color="2980B9" w:sz="4"/>
              <w:left w:val="single" w:color="2980B9" w:sz="4"/>
              <w:bottom w:val="single" w:color="2980B9" w:sz="4"/>
              <w:right w:val="single" w:color="2980B9" w:sz="4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B4F8A"/>
                <w:sz w:val="17"/>
                <w:szCs w:val="17"/>
              </w:rPr>
              <w:t xml:space="preserve">WordPress</w:t>
            </w:r>
          </w:p>
        </w:tc>
      </w:tr>
      <w:tr>
        <w:tc>
          <w:tcPr>
            <w:tcW w:type="dxa" w:w="1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80"/>
            </w:pPr>
          </w:p>
        </w:tc>
        <w:tc>
          <w:tcPr>
            <w:tcW w:type="dxa" w:w="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  <w:tr>
        <w:tc>
          <w:tcPr>
            <w:tcW w:type="dxa" w:w="1560"/>
            <w:tcBorders>
              <w:top w:val="single" w:color="2980B9" w:sz="4"/>
              <w:left w:val="single" w:color="2980B9" w:sz="4"/>
              <w:bottom w:val="single" w:color="2980B9" w:sz="4"/>
              <w:right w:val="single" w:color="2980B9" w:sz="4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B4F8A"/>
                <w:sz w:val="17"/>
                <w:szCs w:val="17"/>
              </w:rPr>
              <w:t xml:space="preserve">Portfolio Review</w:t>
            </w:r>
          </w:p>
        </w:tc>
        <w:tc>
          <w:tcPr>
            <w:tcW w:type="dxa" w:w="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60"/>
            <w:tcBorders>
              <w:top w:val="single" w:color="2980B9" w:sz="4"/>
              <w:left w:val="single" w:color="2980B9" w:sz="4"/>
              <w:bottom w:val="single" w:color="2980B9" w:sz="4"/>
              <w:right w:val="single" w:color="2980B9" w:sz="4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B4F8A"/>
                <w:sz w:val="17"/>
                <w:szCs w:val="17"/>
              </w:rPr>
              <w:t xml:space="preserve">Investor Trust Mgmt</w:t>
            </w:r>
          </w:p>
        </w:tc>
        <w:tc>
          <w:tcPr>
            <w:tcW w:type="dxa" w:w="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60"/>
            <w:tcBorders>
              <w:top w:val="single" w:color="2980B9" w:sz="4"/>
              <w:left w:val="single" w:color="2980B9" w:sz="4"/>
              <w:bottom w:val="single" w:color="2980B9" w:sz="4"/>
              <w:right w:val="single" w:color="2980B9" w:sz="4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B4F8A"/>
                <w:sz w:val="17"/>
                <w:szCs w:val="17"/>
              </w:rPr>
              <w:t xml:space="preserve">Financial Guidance</w:t>
            </w:r>
          </w:p>
        </w:tc>
        <w:tc>
          <w:tcPr>
            <w:tcW w:type="dxa" w:w="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60"/>
            <w:tcBorders>
              <w:top w:val="single" w:color="2980B9" w:sz="4"/>
              <w:left w:val="single" w:color="2980B9" w:sz="4"/>
              <w:bottom w:val="single" w:color="2980B9" w:sz="4"/>
              <w:right w:val="single" w:color="2980B9" w:sz="4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B4F8A"/>
                <w:sz w:val="17"/>
                <w:szCs w:val="17"/>
              </w:rPr>
              <w:t xml:space="preserve">Photoshop</w:t>
            </w:r>
          </w:p>
        </w:tc>
        <w:tc>
          <w:tcPr>
            <w:tcW w:type="dxa" w:w="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60"/>
            <w:tcBorders>
              <w:top w:val="single" w:color="2980B9" w:sz="4"/>
              <w:left w:val="single" w:color="2980B9" w:sz="4"/>
              <w:bottom w:val="single" w:color="2980B9" w:sz="4"/>
              <w:right w:val="single" w:color="2980B9" w:sz="4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B4F8A"/>
                <w:sz w:val="17"/>
                <w:szCs w:val="17"/>
              </w:rPr>
              <w:t xml:space="preserve">SQL / HTML</w:t>
            </w:r>
          </w:p>
        </w:tc>
        <w:tc>
          <w:tcPr>
            <w:tcW w:type="dxa" w:w="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560"/>
            <w:tcBorders>
              <w:top w:val="single" w:color="2980B9" w:sz="4"/>
              <w:left w:val="single" w:color="2980B9" w:sz="4"/>
              <w:bottom w:val="single" w:color="2980B9" w:sz="4"/>
              <w:right w:val="single" w:color="2980B9" w:sz="4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B4F8A"/>
                <w:sz w:val="17"/>
                <w:szCs w:val="17"/>
              </w:rPr>
              <w:t xml:space="preserve">Math Teaching</w:t>
            </w:r>
          </w:p>
        </w:tc>
      </w:tr>
    </w:tbl>
    <w:p>
      <w:pPr>
        <w:spacing w:after="0" w:before="200"/>
      </w:pPr>
    </w:p>
    <w:p>
      <w:pPr>
        <w:pBdr>
          <w:bottom w:val="single" w:color="1B4F8A" w:sz="12" w:space="4"/>
        </w:pBdr>
        <w:spacing w:after="80" w:before="240"/>
      </w:pPr>
      <w:r>
        <w:rPr>
          <w:rFonts w:ascii="Arial" w:cs="Arial" w:eastAsia="Arial" w:hAnsi="Arial"/>
          <w:b/>
          <w:bCs/>
          <w:color w:val="1B4F8A"/>
          <w:sz w:val="22"/>
          <w:szCs w:val="22"/>
        </w:rPr>
        <w:t xml:space="preserve">CERTIFICATION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>
        <w:tc>
          <w:tcPr>
            <w:tcW w:type="dxa" w:w="5040"/>
            <w:tcBorders>
              <w:top w:val="single" w:color="2980B9" w:sz="8"/>
              <w:left w:val="single" w:color="2980B9" w:sz="8"/>
              <w:bottom w:val="single" w:color="2980B9" w:sz="8"/>
              <w:right w:val="single" w:color="2980B9" w:sz="8"/>
            </w:tcBorders>
            <w:shd w:fill="D6E4F0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40" w:before="60"/>
            </w:pPr>
            <w:r>
              <w:rPr>
                <w:rFonts w:ascii="Arial" w:cs="Arial" w:eastAsia="Arial" w:hAnsi="Arial"/>
                <w:b/>
                <w:bCs/>
                <w:color w:val="1B4F8A"/>
                <w:sz w:val="20"/>
                <w:szCs w:val="20"/>
              </w:rPr>
              <w:t xml:space="preserve">NISM Series V-A: Mutual Fund Distributor Certification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color w:val="555555"/>
                <w:sz w:val="18"/>
                <w:szCs w:val="18"/>
              </w:rPr>
              <w:t xml:space="preserve">Issued by: National Institute of Securities Markets (SEBI)</w:t>
            </w:r>
          </w:p>
        </w:tc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</w:tbl>
    <w:p>
      <w:pPr>
        <w:spacing w:after="0" w:before="200"/>
      </w:pPr>
    </w:p>
    <w:p>
      <w:pPr>
        <w:pBdr>
          <w:bottom w:val="single" w:color="1B4F8A" w:sz="12" w:space="4"/>
        </w:pBdr>
        <w:spacing w:after="80" w:before="240"/>
      </w:pPr>
      <w:r>
        <w:rPr>
          <w:rFonts w:ascii="Arial" w:cs="Arial" w:eastAsia="Arial" w:hAnsi="Arial"/>
          <w:b/>
          <w:bCs/>
          <w:color w:val="1B4F8A"/>
          <w:sz w:val="22"/>
          <w:szCs w:val="22"/>
        </w:rPr>
        <w:t xml:space="preserve">LANGUAGES</w:t>
      </w:r>
    </w:p>
    <w:p>
      <w:pPr>
        <w:spacing w:after="100" w:before="100"/>
      </w:pPr>
      <w:r>
        <w:rPr>
          <w:rFonts w:ascii="Arial" w:cs="Arial" w:eastAsia="Arial" w:hAnsi="Arial"/>
          <w:b/>
          <w:bCs/>
          <w:color w:val="2C2C2C"/>
          <w:sz w:val="20"/>
          <w:szCs w:val="20"/>
        </w:rPr>
        <w:t xml:space="preserve">Hindi</w:t>
      </w:r>
      <w:r>
        <w:rPr>
          <w:rFonts w:ascii="Arial" w:cs="Arial" w:eastAsia="Arial" w:hAnsi="Arial"/>
          <w:color w:val="555555"/>
          <w:sz w:val="20"/>
          <w:szCs w:val="20"/>
        </w:rPr>
        <w:t xml:space="preserve"> — Native     </w:t>
      </w:r>
      <w:r>
        <w:rPr>
          <w:rFonts w:ascii="Arial" w:cs="Arial" w:eastAsia="Arial" w:hAnsi="Arial"/>
          <w:b/>
          <w:bCs/>
          <w:color w:val="2C2C2C"/>
          <w:sz w:val="20"/>
          <w:szCs w:val="20"/>
        </w:rPr>
        <w:t xml:space="preserve">English</w:t>
      </w:r>
      <w:r>
        <w:rPr>
          <w:rFonts w:ascii="Arial" w:cs="Arial" w:eastAsia="Arial" w:hAnsi="Arial"/>
          <w:color w:val="555555"/>
          <w:sz w:val="20"/>
          <w:szCs w:val="20"/>
        </w:rPr>
        <w:t xml:space="preserve"> — Fluent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4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2026-05-15T02:50:34.929Z</dcterms:created>
  <dcterms:modified xsi:type="dcterms:W3CDTF">2026-05-15T02:50:34.930Z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